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1985"/>
        </w:tabs>
        <w:ind w:left="1700" w:hanging="1701" w:hangingChars="850"/>
        <w:jc w:val="left"/>
        <w:rPr>
          <w:rFonts w:ascii="Times New Roman" w:hAnsi="Times New Roman" w:cs="Times New Roman"/>
          <w:b/>
          <w:kern w:val="0"/>
          <w:sz w:val="20"/>
          <w:szCs w:val="20"/>
          <w:lang w:eastAsia="en-US"/>
        </w:rPr>
      </w:pPr>
      <w:r>
        <w:rPr>
          <w:rFonts w:hint="eastAsia" w:ascii="Times New Roman" w:hAnsi="Times New Roman" w:cs="Times New Roman"/>
          <w:b/>
          <w:kern w:val="0"/>
          <w:sz w:val="20"/>
          <w:szCs w:val="20"/>
          <w:lang w:val="en-GB" w:eastAsia="en-US"/>
        </w:rPr>
        <w:t>3GPP TSG RAN WG1 #11</w:t>
      </w:r>
      <w:r>
        <w:rPr>
          <w:rFonts w:ascii="Times New Roman" w:hAnsi="Times New Roman" w:cs="Times New Roman"/>
          <w:b/>
          <w:kern w:val="0"/>
          <w:sz w:val="20"/>
          <w:szCs w:val="20"/>
          <w:lang w:val="en-GB" w:eastAsia="en-US"/>
        </w:rPr>
        <w:t>3</w:t>
      </w:r>
      <w:r>
        <w:rPr>
          <w:rFonts w:hint="eastAsia" w:ascii="Times New Roman" w:hAnsi="Times New Roman" w:cs="Times New Roman"/>
          <w:b/>
          <w:kern w:val="0"/>
          <w:sz w:val="20"/>
          <w:szCs w:val="20"/>
          <w:lang w:val="en-GB" w:eastAsia="en-US"/>
        </w:rPr>
        <w:t xml:space="preserve">  </w:t>
      </w:r>
      <w:r>
        <w:rPr>
          <w:rFonts w:hint="eastAsia" w:ascii="Times New Roman" w:hAnsi="Times New Roman" w:cs="Times New Roman"/>
          <w:b/>
          <w:kern w:val="0"/>
          <w:sz w:val="20"/>
          <w:szCs w:val="20"/>
          <w:lang w:val="en-GB" w:eastAsia="en-US"/>
        </w:rPr>
        <w:tab/>
      </w:r>
      <w:r>
        <w:rPr>
          <w:rFonts w:hint="eastAsia" w:ascii="Times New Roman" w:hAnsi="Times New Roman" w:cs="Times New Roman"/>
          <w:b/>
          <w:kern w:val="0"/>
          <w:sz w:val="20"/>
          <w:szCs w:val="20"/>
          <w:lang w:val="en-GB" w:eastAsia="en-US"/>
        </w:rPr>
        <w:t xml:space="preserve">                           </w:t>
      </w:r>
      <w:r>
        <w:rPr>
          <w:rFonts w:ascii="Times New Roman" w:hAnsi="Times New Roman" w:cs="Times New Roman"/>
          <w:b/>
          <w:kern w:val="0"/>
          <w:sz w:val="20"/>
          <w:szCs w:val="20"/>
          <w:lang w:val="en-GB" w:eastAsia="en-US"/>
        </w:rPr>
        <w:t xml:space="preserve">                                 </w:t>
      </w:r>
      <w:r>
        <w:rPr>
          <w:rFonts w:ascii="Times New Roman" w:hAnsi="Times New Roman" w:cs="Times New Roman"/>
          <w:b/>
          <w:kern w:val="0"/>
          <w:sz w:val="20"/>
          <w:szCs w:val="20"/>
          <w:lang w:eastAsia="en-US"/>
        </w:rPr>
        <w:t xml:space="preserve"> </w:t>
      </w:r>
      <w:r>
        <w:rPr>
          <w:rFonts w:hint="eastAsia" w:ascii="Times New Roman" w:hAnsi="Times New Roman" w:cs="Times New Roman"/>
          <w:b/>
          <w:kern w:val="0"/>
          <w:sz w:val="20"/>
          <w:szCs w:val="20"/>
          <w:lang w:val="en-GB" w:eastAsia="en-US"/>
        </w:rPr>
        <w:t>R1-230</w:t>
      </w:r>
      <w:r>
        <w:rPr>
          <w:rFonts w:ascii="Times New Roman" w:hAnsi="Times New Roman" w:cs="Times New Roman"/>
          <w:b/>
          <w:kern w:val="0"/>
          <w:sz w:val="20"/>
          <w:szCs w:val="20"/>
          <w:lang w:eastAsia="en-US"/>
        </w:rPr>
        <w:t>5075</w:t>
      </w:r>
    </w:p>
    <w:p>
      <w:pPr>
        <w:widowControl/>
        <w:tabs>
          <w:tab w:val="left" w:pos="1985"/>
        </w:tabs>
        <w:ind w:left="1700" w:hanging="1701" w:hangingChars="850"/>
        <w:jc w:val="left"/>
        <w:rPr>
          <w:rFonts w:ascii="Times New Roman" w:hAnsi="Times New Roman" w:cs="Times New Roman"/>
          <w:b/>
          <w:kern w:val="0"/>
          <w:sz w:val="20"/>
          <w:szCs w:val="20"/>
          <w:lang w:val="en-GB" w:eastAsia="en-US"/>
        </w:rPr>
      </w:pPr>
      <w:bookmarkStart w:id="0" w:name="OLE_LINK4"/>
      <w:bookmarkStart w:id="1" w:name="OLE_LINK3"/>
      <w:r>
        <w:rPr>
          <w:rFonts w:ascii="Times New Roman" w:hAnsi="Times New Roman" w:cs="Times New Roman"/>
          <w:b/>
          <w:kern w:val="0"/>
          <w:sz w:val="20"/>
          <w:szCs w:val="20"/>
          <w:lang w:val="en-GB" w:eastAsia="en-US"/>
        </w:rPr>
        <w:t>Incheon, Korea, May 22</w:t>
      </w:r>
      <w:r>
        <w:rPr>
          <w:rFonts w:ascii="Times New Roman" w:hAnsi="Times New Roman" w:cs="Times New Roman"/>
          <w:b/>
          <w:kern w:val="0"/>
          <w:sz w:val="20"/>
          <w:szCs w:val="20"/>
          <w:vertAlign w:val="superscript"/>
          <w:lang w:val="en-GB" w:eastAsia="en-US"/>
        </w:rPr>
        <w:t>nd</w:t>
      </w:r>
      <w:r>
        <w:rPr>
          <w:rFonts w:ascii="Times New Roman" w:hAnsi="Times New Roman" w:cs="Times New Roman"/>
          <w:b/>
          <w:kern w:val="0"/>
          <w:sz w:val="20"/>
          <w:szCs w:val="20"/>
          <w:lang w:val="en-GB" w:eastAsia="en-US"/>
        </w:rPr>
        <w:t xml:space="preserve"> – May 26</w:t>
      </w:r>
      <w:r>
        <w:rPr>
          <w:rFonts w:ascii="Times New Roman" w:hAnsi="Times New Roman" w:cs="Times New Roman"/>
          <w:b/>
          <w:kern w:val="0"/>
          <w:sz w:val="20"/>
          <w:szCs w:val="20"/>
          <w:vertAlign w:val="superscript"/>
          <w:lang w:val="en-GB" w:eastAsia="en-US"/>
        </w:rPr>
        <w:t>th</w:t>
      </w:r>
      <w:r>
        <w:rPr>
          <w:rFonts w:ascii="Times New Roman" w:hAnsi="Times New Roman" w:cs="Times New Roman"/>
          <w:b/>
          <w:kern w:val="0"/>
          <w:sz w:val="20"/>
          <w:szCs w:val="20"/>
          <w:lang w:val="en-GB" w:eastAsia="en-US"/>
        </w:rPr>
        <w:t>, 2023</w:t>
      </w:r>
    </w:p>
    <w:p>
      <w:pPr>
        <w:widowControl/>
        <w:tabs>
          <w:tab w:val="left" w:pos="1985"/>
        </w:tabs>
        <w:ind w:left="1700" w:hanging="1701" w:hangingChars="850"/>
        <w:jc w:val="left"/>
        <w:rPr>
          <w:rFonts w:ascii="Times New Roman" w:hAnsi="Times New Roman" w:cs="Times New Roman"/>
          <w:b/>
          <w:kern w:val="0"/>
          <w:sz w:val="20"/>
          <w:szCs w:val="20"/>
          <w:lang w:val="en-GB" w:eastAsia="en-US"/>
        </w:rPr>
      </w:pPr>
    </w:p>
    <w:p>
      <w:pPr>
        <w:widowControl/>
        <w:tabs>
          <w:tab w:val="left" w:pos="1985"/>
        </w:tabs>
        <w:ind w:left="1700" w:hanging="1701" w:hangingChars="85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Pr>
          <w:rFonts w:ascii="Times New Roman" w:hAnsi="Times New Roman" w:cs="Times New Roman"/>
          <w:b/>
          <w:kern w:val="0"/>
          <w:sz w:val="20"/>
          <w:szCs w:val="20"/>
          <w:lang w:val="en-GB" w:eastAsia="en-US"/>
        </w:rPr>
        <w:t>CMCC</w:t>
      </w:r>
    </w:p>
    <w:p>
      <w:pPr>
        <w:widowControl/>
        <w:tabs>
          <w:tab w:val="left" w:pos="1985"/>
        </w:tabs>
        <w:ind w:left="1700" w:hanging="1701" w:hangingChars="85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Title:</w:t>
      </w:r>
      <w:bookmarkStart w:id="2" w:name="Title"/>
      <w:bookmarkEnd w:id="2"/>
      <w:r>
        <w:rPr>
          <w:rFonts w:ascii="Times New Roman" w:hAnsi="Times New Roman" w:cs="Times New Roman"/>
          <w:b/>
          <w:kern w:val="0"/>
          <w:sz w:val="20"/>
          <w:szCs w:val="20"/>
          <w:lang w:val="en-GB" w:eastAsia="en-US"/>
        </w:rPr>
        <w:tab/>
      </w:r>
      <w:r>
        <w:rPr>
          <w:rFonts w:hint="eastAsia" w:ascii="Times New Roman" w:hAnsi="Times New Roman" w:cs="Times New Roman"/>
          <w:b/>
          <w:kern w:val="0"/>
          <w:sz w:val="20"/>
          <w:szCs w:val="20"/>
          <w:lang w:val="en-GB" w:eastAsia="en-US"/>
        </w:rPr>
        <w:t>Di</w:t>
      </w:r>
      <w:r>
        <w:rPr>
          <w:rFonts w:ascii="Times New Roman" w:hAnsi="Times New Roman" w:cs="Times New Roman"/>
          <w:b/>
          <w:kern w:val="0"/>
          <w:sz w:val="20"/>
          <w:szCs w:val="20"/>
          <w:lang w:val="en-GB" w:eastAsia="en-US"/>
        </w:rPr>
        <w:t>s</w:t>
      </w:r>
      <w:r>
        <w:rPr>
          <w:rFonts w:hint="eastAsia" w:ascii="Times New Roman" w:hAnsi="Times New Roman" w:cs="Times New Roman"/>
          <w:b/>
          <w:kern w:val="0"/>
          <w:sz w:val="20"/>
          <w:szCs w:val="20"/>
          <w:lang w:val="en-GB" w:eastAsia="en-US"/>
        </w:rPr>
        <w:t>cussion on RAN2 LS on unchanged PCI</w:t>
      </w:r>
    </w:p>
    <w:p>
      <w:pPr>
        <w:widowControl/>
        <w:tabs>
          <w:tab w:val="left" w:pos="1985"/>
        </w:tabs>
        <w:ind w:left="1700" w:hanging="1701" w:hangingChars="85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r>
      <w:r>
        <w:rPr>
          <w:rFonts w:ascii="Times New Roman" w:hAnsi="Times New Roman" w:cs="Times New Roman"/>
          <w:b/>
          <w:kern w:val="0"/>
          <w:sz w:val="20"/>
          <w:szCs w:val="20"/>
          <w:lang w:val="en-GB" w:eastAsia="en-US"/>
        </w:rPr>
        <w:t>5</w:t>
      </w:r>
    </w:p>
    <w:p>
      <w:pPr>
        <w:widowControl/>
        <w:tabs>
          <w:tab w:val="left" w:pos="1985"/>
        </w:tabs>
        <w:ind w:left="1700" w:hanging="1701" w:hangingChars="85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r>
      <w:r>
        <w:rPr>
          <w:rFonts w:ascii="Times New Roman" w:hAnsi="Times New Roman" w:cs="Times New Roman"/>
          <w:b/>
          <w:kern w:val="0"/>
          <w:sz w:val="20"/>
          <w:szCs w:val="20"/>
          <w:lang w:val="en-GB" w:eastAsia="en-US"/>
        </w:rPr>
        <w:t>Discussion &amp; Decision</w:t>
      </w:r>
    </w:p>
    <w:bookmarkEnd w:id="0"/>
    <w:bookmarkEnd w:id="1"/>
    <w:p>
      <w:pPr>
        <w:pStyle w:val="2"/>
        <w:numPr>
          <w:ilvl w:val="0"/>
          <w:numId w:val="10"/>
        </w:numPr>
        <w:pBdr>
          <w:top w:val="single" w:color="auto" w:sz="12" w:space="6"/>
          <w:left w:val="none" w:color="auto" w:sz="0" w:space="4"/>
          <w:bottom w:val="none" w:color="auto" w:sz="0" w:space="1"/>
          <w:right w:val="none" w:color="auto" w:sz="0" w:space="4"/>
        </w:pBdr>
        <w:spacing w:before="120" w:beforeLines="0" w:after="120" w:afterLines="0"/>
        <w:ind w:left="363" w:hanging="363"/>
        <w:rPr>
          <w:rFonts w:ascii="Times New Roman" w:hAnsi="Times New Roman"/>
          <w:sz w:val="28"/>
          <w:szCs w:val="28"/>
          <w:lang w:eastAsia="zh-CN"/>
        </w:rPr>
      </w:pPr>
      <w:bookmarkStart w:id="3" w:name="_Toc120549591"/>
      <w:bookmarkStart w:id="4" w:name="_Hlk521259925"/>
      <w:r>
        <w:rPr>
          <w:rFonts w:ascii="Times New Roman" w:hAnsi="Times New Roman"/>
          <w:sz w:val="28"/>
          <w:szCs w:val="28"/>
          <w:lang w:eastAsia="zh-CN"/>
        </w:rPr>
        <w:t>Introduction</w:t>
      </w:r>
      <w:bookmarkEnd w:id="3"/>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RAN2 sent an LS to RAN1 regarding mobility enhancement in Rel-18 NR NTN [1]. In the LS, RAN2 provided the progress on unchanged PCI scenario and requested RAN1 to consider the potential issues and feasibility to support PCI unchanging for hard satellite switching and soft satellite switching respectively.</w:t>
      </w:r>
    </w:p>
    <w:p>
      <w:pPr>
        <w:adjustRightInd w:val="0"/>
        <w:snapToGrid w:val="0"/>
        <w:rPr>
          <w:rFonts w:ascii="Times New Roman" w:hAnsi="Times New Roman" w:cs="Times New Roman"/>
          <w:bCs/>
          <w:iCs/>
          <w:sz w:val="20"/>
          <w:szCs w:val="20"/>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val="0"/>
              <w:snapToGrid w:val="0"/>
              <w:ind w:left="1985" w:hanging="1985"/>
              <w:rPr>
                <w:rFonts w:ascii="Times New Roman" w:hAnsi="Times New Roman" w:eastAsia="MS Mincho" w:cs="Times New Roman"/>
                <w:b/>
                <w:sz w:val="20"/>
                <w:szCs w:val="20"/>
                <w:lang w:eastAsia="en-US"/>
              </w:rPr>
            </w:pPr>
            <w:r>
              <w:rPr>
                <w:rFonts w:ascii="Times New Roman" w:hAnsi="Times New Roman" w:eastAsia="MS Mincho" w:cs="Times New Roman"/>
                <w:b/>
                <w:sz w:val="20"/>
                <w:szCs w:val="20"/>
                <w:lang w:eastAsia="en-US"/>
              </w:rPr>
              <w:t>To</w:t>
            </w:r>
            <w:bookmarkStart w:id="5" w:name="_Hlk46227635"/>
            <w:r>
              <w:rPr>
                <w:rFonts w:ascii="Times New Roman" w:hAnsi="Times New Roman" w:eastAsia="MS Mincho" w:cs="Times New Roman"/>
                <w:b/>
                <w:sz w:val="20"/>
                <w:szCs w:val="20"/>
                <w:lang w:eastAsia="en-US"/>
              </w:rPr>
              <w:t xml:space="preserve"> </w:t>
            </w:r>
            <w:bookmarkEnd w:id="5"/>
            <w:r>
              <w:rPr>
                <w:rFonts w:ascii="Times New Roman" w:hAnsi="Times New Roman" w:eastAsia="MS Mincho" w:cs="Times New Roman"/>
                <w:b/>
                <w:sz w:val="20"/>
                <w:szCs w:val="20"/>
                <w:lang w:eastAsia="en-US"/>
              </w:rPr>
              <w:t>RAN1</w:t>
            </w:r>
          </w:p>
          <w:p>
            <w:pPr>
              <w:adjustRightInd w:val="0"/>
              <w:snapToGrid w:val="0"/>
              <w:rPr>
                <w:rFonts w:ascii="Times New Roman" w:hAnsi="Times New Roman" w:eastAsia="MS Mincho" w:cs="Times New Roman"/>
                <w:bCs/>
                <w:iCs/>
                <w:sz w:val="20"/>
                <w:szCs w:val="20"/>
                <w:lang w:eastAsia="en-US"/>
              </w:rPr>
            </w:pPr>
            <w:r>
              <w:rPr>
                <w:rFonts w:ascii="Times New Roman" w:hAnsi="Times New Roman" w:eastAsia="MS Mincho" w:cs="Times New Roman"/>
                <w:b/>
                <w:sz w:val="20"/>
                <w:szCs w:val="20"/>
                <w:lang w:eastAsia="en-US"/>
              </w:rPr>
              <w:t xml:space="preserve">ACTION: </w:t>
            </w:r>
            <w:r>
              <w:rPr>
                <w:rFonts w:ascii="Times New Roman" w:hAnsi="Times New Roman" w:eastAsia="MS Mincho" w:cs="Times New Roman"/>
                <w:color w:val="000000"/>
                <w:sz w:val="20"/>
                <w:szCs w:val="20"/>
                <w:lang w:eastAsia="en-US"/>
              </w:rPr>
              <w:t>RAN2 kindly requests RAN1 to take into account the above agreement on hard satellite switching without PCI change and provide feedback if RAN1 identifies any major technical issues, and also provide feedback on the feasibility to support soft satellite switching without PCI change.</w:t>
            </w:r>
          </w:p>
        </w:tc>
      </w:tr>
    </w:tbl>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In this contribution, we will provide our consideration on unchanged PCI scenario and potential RAN1 reply to the LS.</w:t>
      </w:r>
    </w:p>
    <w:p>
      <w:pPr>
        <w:pStyle w:val="2"/>
        <w:numPr>
          <w:ilvl w:val="0"/>
          <w:numId w:val="10"/>
        </w:numPr>
        <w:pBdr>
          <w:top w:val="single" w:color="auto" w:sz="12" w:space="6"/>
          <w:left w:val="none" w:color="auto" w:sz="0" w:space="4"/>
          <w:bottom w:val="none" w:color="auto" w:sz="0" w:space="1"/>
          <w:right w:val="none" w:color="auto" w:sz="0" w:space="4"/>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In Rel-18, three types of service links including Earth-fixed, quasi-Earth-fixed and Earth-moving are supported in NTN reference scenarios. As specified in TS 38.300, quasi-Earth-fixed service link is </w:t>
      </w:r>
      <w:r>
        <w:rPr>
          <w:rFonts w:hint="eastAsia" w:ascii="Times New Roman" w:hAnsi="Times New Roman" w:cs="Times New Roman"/>
          <w:bCs/>
          <w:iCs/>
          <w:sz w:val="20"/>
          <w:szCs w:val="20"/>
        </w:rPr>
        <w:t>provisioned by beam(s) covering one geographic area for a limited period and a different geographic area during another period (e.g., the case of NGSO satellites generating steerable beams)</w:t>
      </w:r>
      <w:r>
        <w:rPr>
          <w:rFonts w:ascii="Times New Roman" w:hAnsi="Times New Roman" w:cs="Times New Roman"/>
          <w:bCs/>
          <w:iCs/>
          <w:sz w:val="20"/>
          <w:szCs w:val="20"/>
        </w:rPr>
        <w:t xml:space="preserve">. In other words, the beam footprints are stationary for a given NTN cell on ground for a certain </w:t>
      </w:r>
      <w:r>
        <w:rPr>
          <w:rFonts w:hint="eastAsia" w:ascii="Times New Roman" w:hAnsi="Times New Roman" w:cs="Times New Roman"/>
          <w:bCs/>
          <w:iCs/>
          <w:sz w:val="20"/>
          <w:szCs w:val="20"/>
        </w:rPr>
        <w:t>per</w:t>
      </w:r>
      <w:r>
        <w:rPr>
          <w:rFonts w:ascii="Times New Roman" w:hAnsi="Times New Roman" w:cs="Times New Roman"/>
          <w:bCs/>
          <w:iCs/>
          <w:sz w:val="20"/>
          <w:szCs w:val="20"/>
        </w:rPr>
        <w:t>iod of time before they change their focus area to another NTN cell. And with high speed movement of satellites, service link switching happens in the NR NTN when the satellite provide quasi-earth-fixed service link.</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Considering that in the quasi-earth fixed cell, the serving gNB will not change after satellite switching. The satellite coverage area where UEs located has not changed. And all the parts of PHY (including SSB generation, demodulation/decoding, switch and/or routing, coding/modulation), MAC, RLC, PDCP, SDAP and RRC located in the terrestrial gNB which is equipped in the gateway are fixed during the service link switching.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It is proposed to introduce PCI unchanged satellite switching, which can significantly save the signalling overhead, avoid refreshing the protocol stack and reduce the power consumption as UE does not have to perform L3 handover</w:t>
      </w:r>
      <w:bookmarkStart w:id="20" w:name="_GoBack"/>
      <w:bookmarkEnd w:id="20"/>
      <w:r>
        <w:rPr>
          <w:rFonts w:hint="eastAsia" w:ascii="Times New Roman" w:hAnsi="Times New Roman" w:cs="Times New Roman"/>
          <w:bCs/>
          <w:iCs/>
          <w:sz w:val="20"/>
          <w:szCs w:val="20"/>
        </w:rPr>
        <w:t>. And many configurations of the previous satellite can be reused after satellite switching without the change of key.</w:t>
      </w:r>
      <w:r>
        <w:rPr>
          <w:rFonts w:ascii="Times New Roman" w:hAnsi="Times New Roman" w:cs="Times New Roman"/>
          <w:bCs/>
          <w:iCs/>
          <w:sz w:val="20"/>
          <w:szCs w:val="20"/>
        </w:rPr>
        <w:t xml:space="preserve"> The PCI unchanged satellite switching in quasi-earth fixed cell is illustrated in Figure 1.</w:t>
      </w:r>
    </w:p>
    <w:p>
      <w:pPr>
        <w:adjustRightInd w:val="0"/>
        <w:snapToGrid w:val="0"/>
        <w:rPr>
          <w:rFonts w:ascii="Times New Roman" w:hAnsi="Times New Roman" w:cs="Times New Roman"/>
          <w:bCs/>
          <w:iCs/>
          <w:sz w:val="20"/>
          <w:szCs w:val="20"/>
        </w:rPr>
      </w:pPr>
    </w:p>
    <w:p>
      <w:pPr>
        <w:adjustRightInd w:val="0"/>
        <w:snapToGrid w:val="0"/>
        <w:jc w:val="center"/>
      </w:pPr>
      <w:r>
        <w:drawing>
          <wp:inline distT="0" distB="0" distL="114300" distR="114300">
            <wp:extent cx="3510280" cy="1969770"/>
            <wp:effectExtent l="0" t="0" r="0" b="0"/>
            <wp:docPr id="20" name="图片 19"/>
            <wp:cNvGraphicFramePr/>
            <a:graphic xmlns:a="http://schemas.openxmlformats.org/drawingml/2006/main">
              <a:graphicData uri="http://schemas.openxmlformats.org/drawingml/2006/picture">
                <pic:pic xmlns:pic="http://schemas.openxmlformats.org/drawingml/2006/picture">
                  <pic:nvPicPr>
                    <pic:cNvPr id="20" name="图片 19"/>
                    <pic:cNvPicPr/>
                  </pic:nvPicPr>
                  <pic:blipFill>
                    <a:blip r:embed="rId5"/>
                    <a:stretch>
                      <a:fillRect/>
                    </a:stretch>
                  </pic:blipFill>
                  <pic:spPr>
                    <a:xfrm>
                      <a:off x="0" y="0"/>
                      <a:ext cx="3522768" cy="1977119"/>
                    </a:xfrm>
                    <a:prstGeom prst="rect">
                      <a:avLst/>
                    </a:prstGeom>
                  </pic:spPr>
                </pic:pic>
              </a:graphicData>
            </a:graphic>
          </wp:inline>
        </w:drawing>
      </w:r>
    </w:p>
    <w:p>
      <w:pPr>
        <w:adjustRightInd w:val="0"/>
        <w:snapToGrid w:val="0"/>
        <w:jc w:val="center"/>
        <w:rPr>
          <w:rFonts w:ascii="Times New Roman" w:hAnsi="Times New Roman" w:cs="Times New Roman"/>
          <w:b/>
          <w:iCs/>
          <w:sz w:val="20"/>
          <w:szCs w:val="20"/>
        </w:rPr>
      </w:pPr>
      <w:r>
        <w:rPr>
          <w:rFonts w:ascii="Times New Roman" w:hAnsi="Times New Roman" w:cs="Times New Roman"/>
          <w:b/>
          <w:iCs/>
          <w:sz w:val="20"/>
          <w:szCs w:val="20"/>
        </w:rPr>
        <w:t>Figure1. PCI unchanged scenario in quasi-earth fixed cell</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RAN2 has discussed PCI unchanged satellite switching for both hard satellite switching and soft satellite switching in quasi-earth fixed cell case, and the following agreements have been achieved [2].</w:t>
      </w:r>
    </w:p>
    <w:p>
      <w:pPr>
        <w:adjustRightInd w:val="0"/>
        <w:snapToGrid w:val="0"/>
        <w:rPr>
          <w:rFonts w:ascii="Times New Roman" w:hAnsi="Times New Roman" w:cs="Times New Roman"/>
          <w:bCs/>
          <w:iCs/>
          <w:sz w:val="20"/>
          <w:szCs w:val="20"/>
        </w:rPr>
      </w:pPr>
    </w:p>
    <w:tbl>
      <w:tblPr>
        <w:tblStyle w:val="44"/>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rPr>
                <w:rFonts w:ascii="Times New Roman" w:hAnsi="Times New Roman" w:eastAsia="MS Mincho" w:cs="Times New Roman"/>
                <w:b/>
                <w:bCs/>
                <w:color w:val="000000"/>
                <w:sz w:val="20"/>
                <w:szCs w:val="20"/>
                <w:lang w:eastAsia="en-US"/>
              </w:rPr>
            </w:pPr>
            <w:r>
              <w:rPr>
                <w:rFonts w:ascii="Times New Roman" w:hAnsi="Times New Roman" w:eastAsia="MS Mincho" w:cs="Times New Roman"/>
                <w:b/>
                <w:bCs/>
                <w:color w:val="000000"/>
                <w:sz w:val="20"/>
                <w:szCs w:val="20"/>
                <w:lang w:eastAsia="en-US"/>
              </w:rPr>
              <w:t>Agreements:</w:t>
            </w:r>
          </w:p>
          <w:p>
            <w:pPr>
              <w:numPr>
                <w:ilvl w:val="0"/>
                <w:numId w:val="11"/>
              </w:numPr>
              <w:adjustRightInd w:val="0"/>
              <w:snapToGrid w:val="0"/>
              <w:rPr>
                <w:rFonts w:ascii="Times New Roman" w:hAnsi="Times New Roman" w:eastAsia="MS Mincho" w:cs="Times New Roman"/>
                <w:color w:val="000000"/>
                <w:sz w:val="20"/>
                <w:szCs w:val="20"/>
                <w:lang w:eastAsia="en-US"/>
              </w:rPr>
            </w:pPr>
            <w:r>
              <w:rPr>
                <w:rFonts w:ascii="Times New Roman" w:hAnsi="Times New Roman" w:eastAsia="MS Mincho" w:cs="Times New Roman"/>
                <w:color w:val="000000"/>
                <w:sz w:val="20"/>
                <w:szCs w:val="20"/>
                <w:lang w:eastAsia="en-US"/>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pPr>
              <w:adjustRightInd w:val="0"/>
              <w:snapToGrid w:val="0"/>
              <w:rPr>
                <w:rFonts w:ascii="Times New Roman" w:hAnsi="Times New Roman" w:eastAsia="MS Mincho" w:cs="Times New Roman"/>
                <w:bCs/>
                <w:iCs/>
                <w:sz w:val="20"/>
                <w:szCs w:val="20"/>
                <w:lang w:eastAsia="en-US"/>
              </w:rPr>
            </w:pPr>
          </w:p>
        </w:tc>
      </w:tr>
    </w:tbl>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From our understanding, hard satellite switching and soft satellite switching are more dependent on the satellite deployment scenarios. When two satellites cannot cover the same area at same time, there would be a time duration without satellite coverage for this area, the hard satellite switching would happen in this case. If two satellites can have an overlapped time to cover the same area, the soft satellite switching would happen. Whether hard satellite switching or soft satellite switching is used is more dependent on the deployment of satellites.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Observation 1:</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Whether hard satellite switching or soft satellite switching is used is more dependent on the deployment of satellites.</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For hard satellite switching, when the upcoming satellite (S2 in Figure 1) will/can not provide coverage until the coverage of the current satellite (S1 in Figure 1) totally moves away, there will be a time gap between the coverage of two satellites. If the time gap is large, beam failure or even the radio link failure would happen. But the UE can resume working if it can perform the beam failure recovery or re-synchronize with the new satellite (S2), with the ephemeris information of new satellite. In addition, as mentioned in the LS, UE may be notified to re-acquire DL/UL synchronization with the serving cell after the satellite switching. With this notification, there is no issue for UE to access to the upcoming satellite (S2).</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Observation 2:</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With the ephemeris information of new satellite, UE can access to the new satellite reusing the legacy mechanisms in the hard satellite switching.</w:t>
      </w:r>
    </w:p>
    <w:p>
      <w:pPr>
        <w:adjustRightInd w:val="0"/>
        <w:snapToGrid w:val="0"/>
        <w:rPr>
          <w:rFonts w:ascii="Times New Roman" w:hAnsi="Times New Roman" w:cs="Times New Roman"/>
          <w:b/>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1:</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From RAN1’s perspective, no major technical issue is observed for the hard satellite switching without PCI change.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In the soft satellite switching, UE can observe both current serving satellite (S1) and the upcoming satellite (S2) in a short duration. One critical issue is that whether UE can connect with both satellites at the same time. UE can read the ephemeris</w:t>
      </w:r>
      <w:r>
        <w:rPr>
          <w:rFonts w:hint="default" w:ascii="Times New Roman" w:hAnsi="Times New Roman" w:cs="Times New Roman"/>
          <w:bCs/>
          <w:iCs/>
          <w:sz w:val="20"/>
          <w:szCs w:val="20"/>
          <w:lang w:val="en-US"/>
        </w:rPr>
        <w:t xml:space="preserve"> information</w:t>
      </w:r>
      <w:r>
        <w:rPr>
          <w:rFonts w:ascii="Times New Roman" w:hAnsi="Times New Roman" w:cs="Times New Roman"/>
          <w:bCs/>
          <w:iCs/>
          <w:sz w:val="20"/>
          <w:szCs w:val="20"/>
        </w:rPr>
        <w:t xml:space="preserve"> of each satellite from the broadcast information, then UE can get delay and frequency domain compensation information for DL and UL synchronization. But if it is required UE to compensate the delay and frequency domain drift for both satellites, it would increase the UE’s complexity tremendously. Then it should further limit that UE can only connect to one satellite in the soft satellite switching.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Observation 3:</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Both satellites can be observed by UE in the soft satellite switching. Connecting both satellites and compensating the transmission delay and frequency drift from two satellites will increase UE complexity tremendously.</w:t>
      </w:r>
    </w:p>
    <w:p>
      <w:pPr>
        <w:adjustRightInd w:val="0"/>
        <w:snapToGrid w:val="0"/>
        <w:rPr>
          <w:rFonts w:ascii="Times New Roman" w:hAnsi="Times New Roman" w:cs="Times New Roman"/>
          <w:b/>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2:</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In the soft satellite switching, only UE connecting to one satellite should be discussed.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The second issue is that if two satellites transmit the same SSBs with unchanged PCI, two same SSB with different Doppler drifting and timing would be observed by the UE, which is called PCI collision issue. One simple solution is to divide the SSBs into two groups. Two satellites can transmit different group of SSBs. And other signals and channels can be associated with different group of SSBs. UE can connect to different satellites with different SSB indexes. The interference of SSBs between two satellites can be solved with the sacrifice of capacity.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Another way is that two satellites transmit the same SSBs but with different CSI-RS resource configurations. UE can synchronize to one satellite following one SSB with specific delay and frequency domain compensation. With UE specific configuration of CSI-RS/TRS, UE can keep tacking one satellite and transmit/receive signals and channels. All the signals and channels can be associated or QCL-ed with the CSI-RS/TRS from one satellite for a UE. Either different SSBs or the same SSBs are transmitted by the two satellites in the soft satellite switching can solve the issue.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On the other side, no matter same SSBs or different SSBs are transmitted by the satellites in the soft satellite switching, the ephemeris information for each satellite should be informed to the UE. How to realize the different ephemeris information under the same PCI or SSBs can leave to implementation or discussion of other groups.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
          <w:iCs/>
          <w:sz w:val="20"/>
          <w:szCs w:val="20"/>
        </w:rPr>
      </w:pPr>
      <w:r>
        <w:rPr>
          <w:rFonts w:hint="eastAsia" w:ascii="Times New Roman" w:hAnsi="Times New Roman" w:cs="Times New Roman"/>
          <w:b/>
          <w:iCs/>
          <w:sz w:val="20"/>
          <w:szCs w:val="20"/>
        </w:rPr>
        <w:t>O</w:t>
      </w:r>
      <w:r>
        <w:rPr>
          <w:rFonts w:ascii="Times New Roman" w:hAnsi="Times New Roman" w:cs="Times New Roman"/>
          <w:b/>
          <w:iCs/>
          <w:sz w:val="20"/>
          <w:szCs w:val="20"/>
        </w:rPr>
        <w:t>bservation 4:</w:t>
      </w:r>
    </w:p>
    <w:p>
      <w:pPr>
        <w:pStyle w:val="112"/>
        <w:numPr>
          <w:ilvl w:val="0"/>
          <w:numId w:val="12"/>
        </w:numPr>
        <w:adjustRightInd w:val="0"/>
        <w:snapToGrid w:val="0"/>
        <w:spacing w:beforeLines="0" w:afterLines="0"/>
        <w:ind w:firstLineChars="0"/>
        <w:jc w:val="both"/>
        <w:rPr>
          <w:rFonts w:cs="Times New Roman"/>
          <w:b/>
          <w:iCs/>
          <w:sz w:val="20"/>
          <w:szCs w:val="20"/>
        </w:rPr>
      </w:pPr>
      <w:r>
        <w:rPr>
          <w:rFonts w:cs="Times New Roman"/>
          <w:b/>
          <w:iCs/>
          <w:sz w:val="20"/>
          <w:szCs w:val="20"/>
        </w:rPr>
        <w:t>The PCI collision issue can be solved through grouping the SSBs to two sets and different satellite can transmit different set of SSBs, which is an implementation solution.</w:t>
      </w:r>
    </w:p>
    <w:p>
      <w:pPr>
        <w:pStyle w:val="112"/>
        <w:numPr>
          <w:ilvl w:val="0"/>
          <w:numId w:val="12"/>
        </w:numPr>
        <w:adjustRightInd w:val="0"/>
        <w:snapToGrid w:val="0"/>
        <w:spacing w:beforeLines="0" w:afterLines="0"/>
        <w:ind w:firstLineChars="0"/>
        <w:jc w:val="both"/>
        <w:rPr>
          <w:rFonts w:cs="Times New Roman"/>
          <w:b/>
          <w:iCs/>
          <w:sz w:val="20"/>
          <w:szCs w:val="20"/>
        </w:rPr>
      </w:pPr>
      <w:r>
        <w:rPr>
          <w:rFonts w:cs="Times New Roman"/>
          <w:b/>
          <w:iCs/>
          <w:sz w:val="20"/>
          <w:szCs w:val="20"/>
        </w:rPr>
        <w:t xml:space="preserve">Or the same SSBs can be transmitted by the two satellites, but different CSI-RS/TRS can be transmitted through each satellite. UE can connect the satellite following one SSB with specific delay and frequency drift.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3:</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The PCI collision issue in soft satellite switching can be solved through implementation.</w:t>
      </w:r>
    </w:p>
    <w:p>
      <w:pPr>
        <w:adjustRightInd w:val="0"/>
        <w:snapToGrid w:val="0"/>
        <w:rPr>
          <w:rFonts w:ascii="Times New Roman" w:hAnsi="Times New Roman" w:cs="Times New Roman"/>
          <w:b/>
          <w:iCs/>
          <w:sz w:val="20"/>
          <w:szCs w:val="20"/>
        </w:rPr>
      </w:pPr>
    </w:p>
    <w:p>
      <w:pPr>
        <w:adjustRightInd w:val="0"/>
        <w:snapToGrid w:val="0"/>
        <w:rPr>
          <w:rFonts w:ascii="Times New Roman" w:hAnsi="Times New Roman" w:cs="Times New Roman"/>
          <w:b/>
          <w:iCs/>
          <w:sz w:val="20"/>
          <w:szCs w:val="20"/>
          <w:highlight w:val="none"/>
        </w:rPr>
      </w:pPr>
      <w:r>
        <w:rPr>
          <w:rFonts w:ascii="Times New Roman" w:hAnsi="Times New Roman" w:cs="Times New Roman"/>
          <w:b/>
          <w:iCs/>
          <w:sz w:val="20"/>
          <w:szCs w:val="20"/>
          <w:highlight w:val="none"/>
        </w:rPr>
        <w:t>Proposal 4:</w:t>
      </w:r>
    </w:p>
    <w:p>
      <w:pPr>
        <w:adjustRightInd w:val="0"/>
        <w:snapToGrid w:val="0"/>
        <w:rPr>
          <w:rFonts w:ascii="Times New Roman" w:hAnsi="Times New Roman" w:cs="Times New Roman"/>
          <w:b/>
          <w:iCs/>
          <w:sz w:val="20"/>
          <w:szCs w:val="20"/>
          <w:highlight w:val="none"/>
        </w:rPr>
      </w:pPr>
      <w:r>
        <w:rPr>
          <w:rFonts w:ascii="Times New Roman" w:hAnsi="Times New Roman" w:cs="Times New Roman"/>
          <w:b/>
          <w:iCs/>
          <w:sz w:val="20"/>
          <w:szCs w:val="20"/>
          <w:highlight w:val="none"/>
        </w:rPr>
        <w:t>The ephemeris of two satellites in soft switching can be informed to UE. This can be realized through implementation or discussed by other working groups</w:t>
      </w:r>
      <w:r>
        <w:rPr>
          <w:rFonts w:hint="default" w:ascii="Times New Roman" w:hAnsi="Times New Roman" w:cs="Times New Roman"/>
          <w:b/>
          <w:iCs/>
          <w:sz w:val="20"/>
          <w:szCs w:val="20"/>
          <w:highlight w:val="none"/>
          <w:lang w:val="en-US"/>
        </w:rPr>
        <w:t>.</w:t>
      </w:r>
      <w:r>
        <w:rPr>
          <w:rFonts w:ascii="Times New Roman" w:hAnsi="Times New Roman" w:cs="Times New Roman"/>
          <w:b/>
          <w:iCs/>
          <w:sz w:val="20"/>
          <w:szCs w:val="20"/>
          <w:highlight w:val="none"/>
        </w:rPr>
        <w:t xml:space="preserve">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T</w:t>
      </w:r>
      <w:r>
        <w:rPr>
          <w:rFonts w:hint="eastAsia" w:ascii="Times New Roman" w:hAnsi="Times New Roman" w:cs="Times New Roman"/>
          <w:bCs/>
          <w:iCs/>
          <w:sz w:val="20"/>
          <w:szCs w:val="20"/>
        </w:rPr>
        <w:t>he</w:t>
      </w:r>
      <w:r>
        <w:rPr>
          <w:rFonts w:ascii="Times New Roman" w:hAnsi="Times New Roman" w:cs="Times New Roman"/>
          <w:bCs/>
          <w:iCs/>
          <w:sz w:val="20"/>
          <w:szCs w:val="20"/>
        </w:rPr>
        <w:t xml:space="preserve"> third issue is about the interference between UEs in the same area but served by different satellites in the soft satellite switching. This can be solved by the scheduling of gNB. Since both satellite</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are connected to the same gNB in the gateway, the gNB can be aware of which UEs are scheduled in S1 and others are under S2. A co-ordination could be performed by gNB to reduce the interference. In addition, the overlapped serving time of both satellites in soft switching would not be long. A fallback to the hard satellite switch could also be considered, which is gNB can cut off the service of S1 when S2 is ready. </w:t>
      </w:r>
    </w:p>
    <w:p>
      <w:pPr>
        <w:adjustRightInd w:val="0"/>
        <w:snapToGrid w:val="0"/>
        <w:rPr>
          <w:rFonts w:ascii="Times New Roman" w:hAnsi="Times New Roman" w:cs="Times New Roman"/>
          <w:bCs/>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5:</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The interference between the UEs under different satellites in the soft satellite switch can be solved though the scheduling of gNB. </w:t>
      </w:r>
    </w:p>
    <w:p>
      <w:pPr>
        <w:adjustRightInd w:val="0"/>
        <w:snapToGrid w:val="0"/>
        <w:rPr>
          <w:rFonts w:ascii="Times New Roman" w:hAnsi="Times New Roman" w:cs="Times New Roman"/>
          <w:b/>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6:</w:t>
      </w: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From RAN1’s perspective, no major technical issue for soft satellite switching without PCI change is observed. The interference issue can be solved through scheduling of gNB. </w:t>
      </w:r>
    </w:p>
    <w:p>
      <w:pPr>
        <w:adjustRightInd w:val="0"/>
        <w:snapToGrid w:val="0"/>
        <w:rPr>
          <w:rFonts w:ascii="Times New Roman" w:hAnsi="Times New Roman" w:cs="Times New Roman"/>
          <w:b/>
          <w:iCs/>
          <w:sz w:val="20"/>
          <w:szCs w:val="20"/>
        </w:rPr>
      </w:pPr>
    </w:p>
    <w:bookmarkEnd w:id="4"/>
    <w:p>
      <w:pPr>
        <w:pStyle w:val="2"/>
        <w:numPr>
          <w:ilvl w:val="0"/>
          <w:numId w:val="10"/>
        </w:numPr>
        <w:pBdr>
          <w:top w:val="single" w:color="auto" w:sz="12" w:space="6"/>
          <w:left w:val="none" w:color="auto" w:sz="0" w:space="4"/>
          <w:bottom w:val="none" w:color="auto" w:sz="0" w:space="1"/>
          <w:right w:val="none" w:color="auto" w:sz="0" w:space="4"/>
        </w:pBdr>
        <w:spacing w:before="120" w:after="120"/>
        <w:ind w:left="363" w:hanging="363"/>
        <w:rPr>
          <w:rFonts w:ascii="Times New Roman" w:hAnsi="Times New Roman"/>
          <w:sz w:val="28"/>
          <w:szCs w:val="28"/>
        </w:rPr>
      </w:pPr>
      <w:r>
        <w:rPr>
          <w:rFonts w:ascii="Times New Roman" w:hAnsi="Times New Roman"/>
          <w:sz w:val="28"/>
          <w:szCs w:val="28"/>
        </w:rPr>
        <w:t>Draft Reply LS</w:t>
      </w:r>
    </w:p>
    <w:p>
      <w:pPr>
        <w:pStyle w:val="112"/>
        <w:adjustRightInd w:val="0"/>
        <w:snapToGrid w:val="0"/>
        <w:spacing w:beforeLines="0" w:afterLines="0"/>
        <w:ind w:firstLine="0" w:firstLineChars="0"/>
        <w:jc w:val="both"/>
        <w:rPr>
          <w:rFonts w:cs="Times New Roman"/>
          <w:sz w:val="20"/>
          <w:szCs w:val="20"/>
          <w:lang w:val="en-GB"/>
        </w:rPr>
      </w:pPr>
      <w:r>
        <w:rPr>
          <w:rFonts w:cs="Times New Roman" w:eastAsiaTheme="minorEastAsia"/>
          <w:sz w:val="20"/>
          <w:szCs w:val="20"/>
          <w:lang w:val="en-GB"/>
        </w:rPr>
        <w:t>According</w:t>
      </w:r>
      <w:r>
        <w:rPr>
          <w:rFonts w:cs="Times New Roman"/>
          <w:sz w:val="20"/>
          <w:szCs w:val="20"/>
          <w:lang w:val="en-GB"/>
        </w:rPr>
        <w:t xml:space="preserve"> </w:t>
      </w:r>
      <w:r>
        <w:rPr>
          <w:rFonts w:cs="Times New Roman" w:eastAsiaTheme="minorEastAsia"/>
          <w:sz w:val="20"/>
          <w:szCs w:val="20"/>
          <w:lang w:val="en-GB"/>
        </w:rPr>
        <w:t>to</w:t>
      </w:r>
      <w:r>
        <w:rPr>
          <w:rFonts w:cs="Times New Roman"/>
          <w:sz w:val="20"/>
          <w:szCs w:val="20"/>
          <w:lang w:val="en-GB"/>
        </w:rPr>
        <w:t xml:space="preserve"> the discussion above, the content of </w:t>
      </w:r>
      <w:r>
        <w:rPr>
          <w:rFonts w:hint="eastAsia" w:cs="Times New Roman"/>
          <w:sz w:val="20"/>
          <w:szCs w:val="20"/>
          <w:lang w:val="en-GB"/>
        </w:rPr>
        <w:t xml:space="preserve">draft reply LS </w:t>
      </w:r>
      <w:r>
        <w:rPr>
          <w:rFonts w:cs="Times New Roman"/>
          <w:sz w:val="20"/>
          <w:szCs w:val="20"/>
          <w:lang w:val="en-GB"/>
        </w:rPr>
        <w:t xml:space="preserve">is provided below. </w:t>
      </w:r>
    </w:p>
    <w:p>
      <w:pPr>
        <w:pStyle w:val="112"/>
        <w:adjustRightInd w:val="0"/>
        <w:snapToGrid w:val="0"/>
        <w:spacing w:beforeLines="0" w:afterLines="0"/>
        <w:ind w:firstLine="0" w:firstLineChars="0"/>
        <w:jc w:val="both"/>
        <w:rPr>
          <w:rFonts w:cs="Times New Roman" w:eastAsiaTheme="minorEastAsia"/>
          <w:b/>
          <w:bCs/>
          <w:sz w:val="20"/>
          <w:szCs w:val="20"/>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val="0"/>
              <w:snapToGrid w:val="0"/>
              <w:rPr>
                <w:rFonts w:ascii="Times New Roman" w:hAnsi="Times New Roman" w:eastAsia="MS Mincho" w:cs="Times New Roman"/>
                <w:color w:val="000000"/>
                <w:sz w:val="20"/>
                <w:szCs w:val="20"/>
                <w:lang w:eastAsia="en-US"/>
              </w:rPr>
            </w:pPr>
            <w:r>
              <w:rPr>
                <w:rFonts w:ascii="Times New Roman" w:hAnsi="Times New Roman" w:eastAsia="MS Mincho" w:cs="Times New Roman"/>
                <w:color w:val="000000"/>
                <w:sz w:val="20"/>
                <w:szCs w:val="20"/>
                <w:lang w:eastAsia="en-US"/>
              </w:rPr>
              <w:t xml:space="preserve">RAN1 would like to thank RAN2 for the LS(R2-2304273) on unchanged PCI. </w:t>
            </w:r>
          </w:p>
          <w:p>
            <w:pPr>
              <w:adjustRightInd w:val="0"/>
              <w:snapToGrid w:val="0"/>
              <w:rPr>
                <w:rFonts w:ascii="Times New Roman" w:hAnsi="Times New Roman" w:eastAsia="MS Mincho" w:cs="Times New Roman"/>
                <w:color w:val="000000"/>
                <w:sz w:val="20"/>
                <w:szCs w:val="20"/>
                <w:lang w:eastAsia="en-US"/>
              </w:rPr>
            </w:pPr>
          </w:p>
          <w:p>
            <w:pPr>
              <w:adjustRightInd w:val="0"/>
              <w:snapToGrid w:val="0"/>
              <w:rPr>
                <w:rFonts w:ascii="Times New Roman" w:hAnsi="Times New Roman" w:eastAsia="MS Mincho" w:cs="Times New Roman"/>
                <w:color w:val="000000"/>
                <w:sz w:val="20"/>
                <w:szCs w:val="20"/>
                <w:lang w:eastAsia="en-US"/>
              </w:rPr>
            </w:pPr>
            <w:r>
              <w:rPr>
                <w:rFonts w:ascii="Times New Roman" w:hAnsi="Times New Roman" w:eastAsia="MS Mincho" w:cs="Times New Roman"/>
                <w:color w:val="000000"/>
                <w:sz w:val="20"/>
                <w:szCs w:val="20"/>
                <w:lang w:eastAsia="en-US"/>
              </w:rPr>
              <w:t>Regarding the progress on satellite switching without PCI change provided by RAN2, RAN1 has discussed the feasibility for both hard satellite switching and soft satellite switching without PCI changing, and would like to provide the following.</w:t>
            </w:r>
          </w:p>
          <w:p>
            <w:pPr>
              <w:adjustRightInd w:val="0"/>
              <w:snapToGrid w:val="0"/>
              <w:rPr>
                <w:rFonts w:ascii="Times New Roman" w:hAnsi="Times New Roman" w:eastAsia="MS Mincho" w:cs="Times New Roman"/>
                <w:color w:val="000000"/>
                <w:sz w:val="20"/>
                <w:szCs w:val="20"/>
                <w:lang w:eastAsia="en-US"/>
              </w:rPr>
            </w:pPr>
          </w:p>
          <w:p>
            <w:pPr>
              <w:adjustRightInd w:val="0"/>
              <w:snapToGrid w:val="0"/>
              <w:rPr>
                <w:rFonts w:ascii="Times New Roman" w:hAnsi="Times New Roman" w:eastAsia="MS Mincho" w:cs="Times New Roman"/>
                <w:b/>
                <w:iCs/>
                <w:sz w:val="20"/>
                <w:szCs w:val="20"/>
                <w:lang w:eastAsia="en-US"/>
              </w:rPr>
            </w:pPr>
            <w:r>
              <w:rPr>
                <w:rFonts w:ascii="Times New Roman" w:hAnsi="Times New Roman" w:eastAsia="MS Mincho" w:cs="Times New Roman"/>
                <w:b/>
                <w:iCs/>
                <w:sz w:val="20"/>
                <w:szCs w:val="20"/>
                <w:lang w:eastAsia="en-US"/>
              </w:rPr>
              <w:t>From RAN1’s perspective, no major technical issue is observed for the hard satellite switching without PCI change.</w:t>
            </w:r>
          </w:p>
          <w:p>
            <w:pPr>
              <w:adjustRightInd w:val="0"/>
              <w:snapToGrid w:val="0"/>
              <w:rPr>
                <w:rFonts w:ascii="Times New Roman" w:hAnsi="Times New Roman" w:eastAsia="MS Mincho" w:cs="Times New Roman"/>
                <w:b/>
                <w:iCs/>
                <w:sz w:val="20"/>
                <w:szCs w:val="20"/>
                <w:lang w:eastAsia="en-US"/>
              </w:rPr>
            </w:pPr>
          </w:p>
          <w:p>
            <w:pPr>
              <w:adjustRightInd w:val="0"/>
              <w:snapToGrid w:val="0"/>
              <w:rPr>
                <w:rFonts w:ascii="Times New Roman" w:hAnsi="Times New Roman" w:eastAsia="MS Mincho" w:cs="Times New Roman"/>
                <w:b/>
                <w:iCs/>
                <w:sz w:val="20"/>
                <w:szCs w:val="20"/>
                <w:lang w:eastAsia="en-US"/>
              </w:rPr>
            </w:pPr>
            <w:r>
              <w:rPr>
                <w:rFonts w:ascii="Times New Roman" w:hAnsi="Times New Roman" w:eastAsia="MS Mincho" w:cs="Times New Roman"/>
                <w:b/>
                <w:iCs/>
                <w:sz w:val="20"/>
                <w:szCs w:val="20"/>
                <w:lang w:eastAsia="en-US"/>
              </w:rPr>
              <w:t>Currently, one UE only connects to one satellite is considered in the soft satellite switching. From RAN1’s perspective, no major technical issue for soft satellite switching without PCI change is observed. The interference issue can be solved through scheduling of gNB.</w:t>
            </w:r>
          </w:p>
          <w:p>
            <w:pPr>
              <w:adjustRightInd w:val="0"/>
              <w:snapToGrid w:val="0"/>
              <w:rPr>
                <w:rFonts w:ascii="Times New Roman" w:hAnsi="Times New Roman" w:eastAsia="MS Mincho" w:cs="Times New Roman"/>
                <w:color w:val="000000"/>
                <w:sz w:val="20"/>
                <w:szCs w:val="20"/>
                <w:lang w:eastAsia="en-US"/>
              </w:rPr>
            </w:pPr>
          </w:p>
          <w:p>
            <w:pPr>
              <w:adjustRightInd w:val="0"/>
              <w:snapToGrid w:val="0"/>
              <w:ind w:left="1985" w:hanging="1985"/>
              <w:rPr>
                <w:rFonts w:ascii="Times New Roman" w:hAnsi="Times New Roman" w:eastAsia="MS Mincho" w:cs="Times New Roman"/>
                <w:b/>
                <w:sz w:val="20"/>
                <w:szCs w:val="20"/>
                <w:lang w:eastAsia="en-US"/>
              </w:rPr>
            </w:pPr>
            <w:r>
              <w:rPr>
                <w:rFonts w:ascii="Times New Roman" w:hAnsi="Times New Roman" w:eastAsia="MS Mincho" w:cs="Times New Roman"/>
                <w:b/>
                <w:sz w:val="20"/>
                <w:szCs w:val="20"/>
                <w:lang w:eastAsia="en-US"/>
              </w:rPr>
              <w:t>To RAN2</w:t>
            </w:r>
          </w:p>
          <w:p>
            <w:pPr>
              <w:pStyle w:val="112"/>
              <w:adjustRightInd w:val="0"/>
              <w:snapToGrid w:val="0"/>
              <w:spacing w:beforeLines="0" w:afterLines="0"/>
              <w:ind w:firstLine="0" w:firstLineChars="0"/>
              <w:jc w:val="both"/>
              <w:rPr>
                <w:rFonts w:cs="Times New Roman" w:eastAsiaTheme="minorEastAsia"/>
                <w:b/>
                <w:bCs/>
                <w:sz w:val="20"/>
                <w:szCs w:val="20"/>
                <w:lang w:eastAsia="en-US"/>
              </w:rPr>
            </w:pPr>
            <w:r>
              <w:rPr>
                <w:rFonts w:cs="Times New Roman"/>
                <w:b/>
                <w:sz w:val="20"/>
                <w:szCs w:val="20"/>
                <w:lang w:eastAsia="en-US"/>
              </w:rPr>
              <w:t xml:space="preserve">ACTION: </w:t>
            </w:r>
            <w:r>
              <w:rPr>
                <w:rFonts w:cs="Times New Roman"/>
                <w:color w:val="000000"/>
                <w:sz w:val="20"/>
                <w:szCs w:val="20"/>
                <w:lang w:eastAsia="en-US"/>
              </w:rPr>
              <w:t>RAN1 respectfully asks RAN2 to take the above response into account in the future work.</w:t>
            </w:r>
          </w:p>
        </w:tc>
      </w:tr>
    </w:tbl>
    <w:p>
      <w:pPr>
        <w:pStyle w:val="112"/>
        <w:adjustRightInd w:val="0"/>
        <w:snapToGrid w:val="0"/>
        <w:spacing w:beforeLines="0" w:afterLines="0"/>
        <w:ind w:firstLine="0" w:firstLineChars="0"/>
        <w:jc w:val="both"/>
        <w:rPr>
          <w:rFonts w:cs="Times New Roman" w:eastAsiaTheme="minorEastAsia"/>
          <w:b/>
          <w:bCs/>
          <w:sz w:val="20"/>
          <w:szCs w:val="20"/>
        </w:rPr>
      </w:pPr>
    </w:p>
    <w:p>
      <w:pPr>
        <w:adjustRightInd w:val="0"/>
        <w:snapToGrid w:val="0"/>
        <w:rPr>
          <w:rFonts w:ascii="Times New Roman" w:hAnsi="Times New Roman" w:cs="Times New Roman"/>
          <w:bCs/>
          <w:iCs/>
          <w:sz w:val="20"/>
          <w:szCs w:val="20"/>
        </w:rPr>
      </w:pPr>
    </w:p>
    <w:p>
      <w:pPr>
        <w:pStyle w:val="2"/>
        <w:numPr>
          <w:ilvl w:val="0"/>
          <w:numId w:val="10"/>
        </w:numPr>
        <w:pBdr>
          <w:top w:val="single" w:color="auto" w:sz="12" w:space="6"/>
          <w:left w:val="none" w:color="auto" w:sz="0" w:space="4"/>
          <w:bottom w:val="none" w:color="auto" w:sz="0" w:space="1"/>
          <w:right w:val="none" w:color="auto" w:sz="0" w:space="4"/>
        </w:pBdr>
        <w:spacing w:before="120" w:after="120"/>
        <w:ind w:left="363" w:hanging="363"/>
        <w:rPr>
          <w:rFonts w:ascii="Times New Roman" w:hAnsi="Times New Roman"/>
          <w:sz w:val="28"/>
          <w:szCs w:val="28"/>
        </w:rPr>
      </w:pPr>
      <w:r>
        <w:rPr>
          <w:rFonts w:ascii="Times New Roman" w:hAnsi="Times New Roman"/>
          <w:sz w:val="28"/>
          <w:szCs w:val="28"/>
        </w:rPr>
        <w:t>Conclusions</w:t>
      </w:r>
    </w:p>
    <w:p>
      <w:pPr>
        <w:pStyle w:val="112"/>
        <w:adjustRightInd w:val="0"/>
        <w:snapToGrid w:val="0"/>
        <w:spacing w:beforeLines="0" w:afterLines="0"/>
        <w:ind w:firstLine="0" w:firstLineChars="0"/>
        <w:jc w:val="both"/>
        <w:rPr>
          <w:rFonts w:cs="Times New Roman"/>
          <w:bCs/>
          <w:iCs/>
          <w:sz w:val="20"/>
          <w:szCs w:val="20"/>
        </w:rPr>
      </w:pPr>
      <w:r>
        <w:rPr>
          <w:rFonts w:cs="Times New Roman"/>
          <w:sz w:val="20"/>
          <w:szCs w:val="20"/>
          <w:lang w:val="en-GB"/>
        </w:rPr>
        <w:t xml:space="preserve">In this contribution, we </w:t>
      </w:r>
      <w:r>
        <w:rPr>
          <w:rFonts w:cs="Times New Roman"/>
          <w:sz w:val="20"/>
          <w:szCs w:val="20"/>
        </w:rPr>
        <w:t xml:space="preserve">mainly </w:t>
      </w:r>
      <w:r>
        <w:rPr>
          <w:rFonts w:cs="Times New Roman"/>
          <w:sz w:val="20"/>
          <w:szCs w:val="20"/>
          <w:lang w:val="en-GB"/>
        </w:rPr>
        <w:t xml:space="preserve">share </w:t>
      </w:r>
      <w:r>
        <w:rPr>
          <w:rFonts w:eastAsia="MS Mincho" w:cs="Times New Roman"/>
          <w:sz w:val="20"/>
          <w:szCs w:val="20"/>
          <w:lang w:eastAsia="ja-JP"/>
        </w:rPr>
        <w:t xml:space="preserve">our views </w:t>
      </w:r>
      <w:r>
        <w:rPr>
          <w:rFonts w:cs="Times New Roman"/>
          <w:bCs/>
          <w:iCs/>
          <w:sz w:val="20"/>
          <w:szCs w:val="20"/>
        </w:rPr>
        <w:t>on the feasibility to support hard satellite switching and soft satellite switching without PCI changing. The observations and proposals are summarized as follows.</w:t>
      </w:r>
    </w:p>
    <w:p>
      <w:pPr>
        <w:pStyle w:val="112"/>
        <w:adjustRightInd w:val="0"/>
        <w:snapToGrid w:val="0"/>
        <w:spacing w:beforeLines="0" w:afterLines="0"/>
        <w:ind w:firstLine="0" w:firstLineChars="0"/>
        <w:jc w:val="both"/>
        <w:rPr>
          <w:rFonts w:cs="Times New Roman" w:eastAsiaTheme="minorEastAsia"/>
          <w:bCs/>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Observation 1:</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Whether hard satellite switching or soft satellite switching is used is more dependent on the deployment of satellites.</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Observation 2:</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With the ephemeris information of new satellite, UE can access to the new satellite reusing the legacy mechanisms in the hard satellite switching.</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Observation 3:</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Both satellites can be observed by UE in the soft satellite switching. Connecting both satellites and compensating the transmission delay and frequency drift from two satellites will increase UE complexity tremendously.</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hint="eastAsia" w:ascii="Times New Roman" w:hAnsi="Times New Roman" w:cs="Times New Roman"/>
          <w:b/>
          <w:iCs/>
          <w:sz w:val="20"/>
          <w:szCs w:val="20"/>
        </w:rPr>
        <w:t>O</w:t>
      </w:r>
      <w:r>
        <w:rPr>
          <w:rFonts w:ascii="Times New Roman" w:hAnsi="Times New Roman" w:cs="Times New Roman"/>
          <w:b/>
          <w:iCs/>
          <w:sz w:val="20"/>
          <w:szCs w:val="20"/>
        </w:rPr>
        <w:t>bservation 4:</w:t>
      </w:r>
    </w:p>
    <w:p>
      <w:pPr>
        <w:pStyle w:val="112"/>
        <w:numPr>
          <w:ilvl w:val="0"/>
          <w:numId w:val="12"/>
        </w:numPr>
        <w:adjustRightInd w:val="0"/>
        <w:snapToGrid w:val="0"/>
        <w:spacing w:beforeLines="0" w:afterLines="0"/>
        <w:ind w:firstLineChars="0"/>
        <w:jc w:val="both"/>
        <w:rPr>
          <w:rFonts w:cs="Times New Roman"/>
          <w:b/>
          <w:iCs/>
          <w:sz w:val="20"/>
          <w:szCs w:val="20"/>
        </w:rPr>
      </w:pPr>
      <w:r>
        <w:rPr>
          <w:rFonts w:cs="Times New Roman"/>
          <w:b/>
          <w:iCs/>
          <w:sz w:val="20"/>
          <w:szCs w:val="20"/>
        </w:rPr>
        <w:t>The PCI collision issue can be solved through grouping the SSBs to two sets and different satellite can transmit different set of SSBs, which is an implementation solution.</w:t>
      </w:r>
    </w:p>
    <w:p>
      <w:pPr>
        <w:pStyle w:val="112"/>
        <w:numPr>
          <w:ilvl w:val="0"/>
          <w:numId w:val="12"/>
        </w:numPr>
        <w:adjustRightInd w:val="0"/>
        <w:snapToGrid w:val="0"/>
        <w:spacing w:beforeLines="0" w:afterLines="0"/>
        <w:ind w:firstLineChars="0"/>
        <w:jc w:val="both"/>
        <w:rPr>
          <w:rFonts w:cs="Times New Roman"/>
          <w:b/>
          <w:iCs/>
          <w:sz w:val="20"/>
          <w:szCs w:val="20"/>
        </w:rPr>
      </w:pPr>
      <w:r>
        <w:rPr>
          <w:rFonts w:cs="Times New Roman"/>
          <w:b/>
          <w:iCs/>
          <w:sz w:val="20"/>
          <w:szCs w:val="20"/>
        </w:rPr>
        <w:t xml:space="preserve">Or the same SSBs can be transmitted by the two satellites, but different CSI-RS/TRS can be transmitted through each satellite. UE can connect the satellite following one SSB with specific delay and frequency drift. </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Proposal 1:</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 xml:space="preserve">From RAN1’s perspective, no major technical issue is observed for the hard satellite switching without PCI change. </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Proposal 2:</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 xml:space="preserve">In the soft satellite switching, only UE connecting to one satellite should be discussed. </w:t>
      </w:r>
    </w:p>
    <w:p>
      <w:pPr>
        <w:adjustRightInd w:val="0"/>
        <w:snapToGrid w:val="0"/>
        <w:jc w:val="both"/>
        <w:rPr>
          <w:rFonts w:ascii="Times New Roman" w:hAnsi="Times New Roman" w:cs="Times New Roman"/>
          <w:bCs/>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Proposal 3:</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The PCI collision issue in soft satellite switching can be solved through implementation.</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highlight w:val="none"/>
        </w:rPr>
      </w:pPr>
      <w:r>
        <w:rPr>
          <w:rFonts w:ascii="Times New Roman" w:hAnsi="Times New Roman" w:cs="Times New Roman"/>
          <w:b/>
          <w:iCs/>
          <w:sz w:val="20"/>
          <w:szCs w:val="20"/>
          <w:highlight w:val="none"/>
        </w:rPr>
        <w:t>Proposal 4:</w:t>
      </w:r>
    </w:p>
    <w:p>
      <w:pPr>
        <w:adjustRightInd w:val="0"/>
        <w:snapToGrid w:val="0"/>
        <w:jc w:val="both"/>
        <w:rPr>
          <w:rFonts w:ascii="Times New Roman" w:hAnsi="Times New Roman" w:cs="Times New Roman"/>
          <w:b/>
          <w:iCs/>
          <w:sz w:val="20"/>
          <w:szCs w:val="20"/>
          <w:highlight w:val="none"/>
        </w:rPr>
      </w:pPr>
      <w:r>
        <w:rPr>
          <w:rFonts w:ascii="Times New Roman" w:hAnsi="Times New Roman" w:cs="Times New Roman"/>
          <w:b/>
          <w:iCs/>
          <w:sz w:val="20"/>
          <w:szCs w:val="20"/>
          <w:highlight w:val="none"/>
        </w:rPr>
        <w:t xml:space="preserve">The ephemeris of two satellites in soft switching can be informed to UE. This can be realized through implementation or discussed by other working groups </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Proposal 5:</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 xml:space="preserve">The interference between the UEs under different satellites in the soft satellite switch can be solved though the scheduling of gNB. </w:t>
      </w:r>
    </w:p>
    <w:p>
      <w:pPr>
        <w:adjustRightInd w:val="0"/>
        <w:snapToGrid w:val="0"/>
        <w:jc w:val="both"/>
        <w:rPr>
          <w:rFonts w:ascii="Times New Roman" w:hAnsi="Times New Roman" w:cs="Times New Roman"/>
          <w:b/>
          <w:iCs/>
          <w:sz w:val="20"/>
          <w:szCs w:val="20"/>
        </w:rPr>
      </w:pP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Proposal 6:</w:t>
      </w:r>
    </w:p>
    <w:p>
      <w:pPr>
        <w:adjustRightInd w:val="0"/>
        <w:snapToGrid w:val="0"/>
        <w:jc w:val="both"/>
        <w:rPr>
          <w:rFonts w:ascii="Times New Roman" w:hAnsi="Times New Roman" w:cs="Times New Roman"/>
          <w:b/>
          <w:iCs/>
          <w:sz w:val="20"/>
          <w:szCs w:val="20"/>
        </w:rPr>
      </w:pPr>
      <w:r>
        <w:rPr>
          <w:rFonts w:ascii="Times New Roman" w:hAnsi="Times New Roman" w:cs="Times New Roman"/>
          <w:b/>
          <w:iCs/>
          <w:sz w:val="20"/>
          <w:szCs w:val="20"/>
        </w:rPr>
        <w:t xml:space="preserve">From RAN1’s perspective, no major technical issue for soft satellite switching without PCI change is observed. The interference issue can be solved through scheduling of gNB. </w:t>
      </w:r>
    </w:p>
    <w:p>
      <w:pPr>
        <w:adjustRightInd w:val="0"/>
        <w:snapToGrid w:val="0"/>
        <w:rPr>
          <w:rFonts w:ascii="Times New Roman" w:hAnsi="Times New Roman" w:cs="Times New Roman"/>
          <w:b/>
          <w:iCs/>
          <w:sz w:val="20"/>
          <w:szCs w:val="20"/>
        </w:rPr>
      </w:pPr>
    </w:p>
    <w:p>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The proposed text for the reply LS is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val="0"/>
              <w:snapToGrid w:val="0"/>
              <w:rPr>
                <w:rFonts w:ascii="Times New Roman" w:hAnsi="Times New Roman" w:eastAsia="MS Mincho" w:cs="Times New Roman"/>
                <w:color w:val="000000"/>
                <w:sz w:val="20"/>
                <w:szCs w:val="20"/>
                <w:lang w:eastAsia="en-US"/>
              </w:rPr>
            </w:pPr>
            <w:r>
              <w:rPr>
                <w:rFonts w:ascii="Times New Roman" w:hAnsi="Times New Roman" w:eastAsia="MS Mincho" w:cs="Times New Roman"/>
                <w:color w:val="000000"/>
                <w:sz w:val="20"/>
                <w:szCs w:val="20"/>
                <w:lang w:eastAsia="en-US"/>
              </w:rPr>
              <w:t xml:space="preserve">RAN1 would like to thank RAN2 for the LS(R2-2304273) on unchanged PCI. </w:t>
            </w:r>
          </w:p>
          <w:p>
            <w:pPr>
              <w:adjustRightInd w:val="0"/>
              <w:snapToGrid w:val="0"/>
              <w:rPr>
                <w:rFonts w:ascii="Times New Roman" w:hAnsi="Times New Roman" w:eastAsia="MS Mincho" w:cs="Times New Roman"/>
                <w:color w:val="000000"/>
                <w:sz w:val="20"/>
                <w:szCs w:val="20"/>
                <w:lang w:eastAsia="en-US"/>
              </w:rPr>
            </w:pPr>
          </w:p>
          <w:p>
            <w:pPr>
              <w:adjustRightInd w:val="0"/>
              <w:snapToGrid w:val="0"/>
              <w:rPr>
                <w:rFonts w:ascii="Times New Roman" w:hAnsi="Times New Roman" w:eastAsia="MS Mincho" w:cs="Times New Roman"/>
                <w:color w:val="000000"/>
                <w:sz w:val="20"/>
                <w:szCs w:val="20"/>
                <w:lang w:eastAsia="en-US"/>
              </w:rPr>
            </w:pPr>
            <w:r>
              <w:rPr>
                <w:rFonts w:ascii="Times New Roman" w:hAnsi="Times New Roman" w:eastAsia="MS Mincho" w:cs="Times New Roman"/>
                <w:color w:val="000000"/>
                <w:sz w:val="20"/>
                <w:szCs w:val="20"/>
                <w:lang w:eastAsia="en-US"/>
              </w:rPr>
              <w:t>Regarding the progress on satellite switching without PCI change provided by RAN2, RAN1 has discussed the feasibility for both hard satellite switching and soft satellite switching without PCI changing, and would like to provide the following.</w:t>
            </w:r>
          </w:p>
          <w:p>
            <w:pPr>
              <w:adjustRightInd w:val="0"/>
              <w:snapToGrid w:val="0"/>
              <w:rPr>
                <w:rFonts w:ascii="Times New Roman" w:hAnsi="Times New Roman" w:eastAsia="MS Mincho" w:cs="Times New Roman"/>
                <w:color w:val="000000"/>
                <w:sz w:val="20"/>
                <w:szCs w:val="20"/>
                <w:lang w:eastAsia="en-US"/>
              </w:rPr>
            </w:pPr>
          </w:p>
          <w:p>
            <w:pPr>
              <w:adjustRightInd w:val="0"/>
              <w:snapToGrid w:val="0"/>
              <w:rPr>
                <w:rFonts w:ascii="Times New Roman" w:hAnsi="Times New Roman" w:eastAsia="MS Mincho" w:cs="Times New Roman"/>
                <w:b/>
                <w:iCs/>
                <w:sz w:val="20"/>
                <w:szCs w:val="20"/>
                <w:lang w:eastAsia="en-US"/>
              </w:rPr>
            </w:pPr>
            <w:r>
              <w:rPr>
                <w:rFonts w:ascii="Times New Roman" w:hAnsi="Times New Roman" w:eastAsia="MS Mincho" w:cs="Times New Roman"/>
                <w:b/>
                <w:iCs/>
                <w:sz w:val="20"/>
                <w:szCs w:val="20"/>
                <w:lang w:eastAsia="en-US"/>
              </w:rPr>
              <w:t>From RAN1’s perspective, no major technical issue is observed for the hard satellite switching without PCI change.</w:t>
            </w:r>
          </w:p>
          <w:p>
            <w:pPr>
              <w:adjustRightInd w:val="0"/>
              <w:snapToGrid w:val="0"/>
              <w:rPr>
                <w:rFonts w:ascii="Times New Roman" w:hAnsi="Times New Roman" w:eastAsia="MS Mincho" w:cs="Times New Roman"/>
                <w:b/>
                <w:iCs/>
                <w:sz w:val="20"/>
                <w:szCs w:val="20"/>
                <w:lang w:eastAsia="en-US"/>
              </w:rPr>
            </w:pPr>
          </w:p>
          <w:p>
            <w:pPr>
              <w:adjustRightInd w:val="0"/>
              <w:snapToGrid w:val="0"/>
              <w:rPr>
                <w:rFonts w:ascii="Times New Roman" w:hAnsi="Times New Roman" w:eastAsia="MS Mincho" w:cs="Times New Roman"/>
                <w:b/>
                <w:iCs/>
                <w:sz w:val="20"/>
                <w:szCs w:val="20"/>
                <w:lang w:eastAsia="en-US"/>
              </w:rPr>
            </w:pPr>
            <w:r>
              <w:rPr>
                <w:rFonts w:ascii="Times New Roman" w:hAnsi="Times New Roman" w:eastAsia="MS Mincho" w:cs="Times New Roman"/>
                <w:b/>
                <w:iCs/>
                <w:sz w:val="20"/>
                <w:szCs w:val="20"/>
                <w:lang w:eastAsia="en-US"/>
              </w:rPr>
              <w:t>Currently, one UE only connects to one satellite is considered in the soft satellite switching. From RAN1’s perspective, no major technical issue for soft satellite switching without PCI change is observed. The interference issue can be solved through scheduling of gNB.</w:t>
            </w:r>
          </w:p>
          <w:p>
            <w:pPr>
              <w:adjustRightInd w:val="0"/>
              <w:snapToGrid w:val="0"/>
              <w:rPr>
                <w:rFonts w:ascii="Times New Roman" w:hAnsi="Times New Roman" w:eastAsia="MS Mincho" w:cs="Times New Roman"/>
                <w:color w:val="000000"/>
                <w:sz w:val="20"/>
                <w:szCs w:val="20"/>
                <w:lang w:eastAsia="en-US"/>
              </w:rPr>
            </w:pPr>
          </w:p>
          <w:p>
            <w:pPr>
              <w:adjustRightInd w:val="0"/>
              <w:snapToGrid w:val="0"/>
              <w:ind w:left="1985" w:hanging="1985"/>
              <w:rPr>
                <w:rFonts w:ascii="Times New Roman" w:hAnsi="Times New Roman" w:eastAsia="MS Mincho" w:cs="Times New Roman"/>
                <w:b/>
                <w:sz w:val="20"/>
                <w:szCs w:val="20"/>
                <w:lang w:eastAsia="en-US"/>
              </w:rPr>
            </w:pPr>
            <w:r>
              <w:rPr>
                <w:rFonts w:ascii="Times New Roman" w:hAnsi="Times New Roman" w:eastAsia="MS Mincho" w:cs="Times New Roman"/>
                <w:b/>
                <w:sz w:val="20"/>
                <w:szCs w:val="20"/>
                <w:lang w:eastAsia="en-US"/>
              </w:rPr>
              <w:t>To RAN2</w:t>
            </w:r>
          </w:p>
          <w:p>
            <w:pPr>
              <w:adjustRightInd w:val="0"/>
              <w:snapToGrid w:val="0"/>
              <w:rPr>
                <w:rFonts w:ascii="Times New Roman" w:hAnsi="Times New Roman" w:eastAsia="MS Mincho" w:cs="Times New Roman"/>
                <w:b/>
                <w:iCs/>
                <w:sz w:val="20"/>
                <w:szCs w:val="20"/>
                <w:lang w:eastAsia="en-US"/>
              </w:rPr>
            </w:pPr>
            <w:r>
              <w:rPr>
                <w:rFonts w:ascii="Times New Roman" w:hAnsi="Times New Roman" w:eastAsia="MS Mincho" w:cs="Times New Roman"/>
                <w:b/>
                <w:sz w:val="20"/>
                <w:szCs w:val="20"/>
                <w:lang w:eastAsia="en-US"/>
              </w:rPr>
              <w:t xml:space="preserve">ACTION: </w:t>
            </w:r>
            <w:r>
              <w:rPr>
                <w:rFonts w:ascii="Times New Roman" w:hAnsi="Times New Roman" w:eastAsia="MS Mincho" w:cs="Times New Roman"/>
                <w:color w:val="000000"/>
                <w:sz w:val="20"/>
                <w:szCs w:val="20"/>
                <w:lang w:eastAsia="en-US"/>
              </w:rPr>
              <w:t>RAN1 respectfully asks RAN2 to take the above response into account in the future work.</w:t>
            </w:r>
          </w:p>
        </w:tc>
      </w:tr>
    </w:tbl>
    <w:p>
      <w:pPr>
        <w:adjustRightInd w:val="0"/>
        <w:snapToGrid w:val="0"/>
        <w:rPr>
          <w:rFonts w:ascii="Times New Roman" w:hAnsi="Times New Roman" w:cs="Times New Roman"/>
          <w:b/>
          <w:iCs/>
          <w:sz w:val="20"/>
          <w:szCs w:val="20"/>
        </w:rPr>
      </w:pPr>
    </w:p>
    <w:p>
      <w:pPr>
        <w:pStyle w:val="2"/>
        <w:numPr>
          <w:ilvl w:val="0"/>
          <w:numId w:val="10"/>
        </w:numPr>
        <w:pBdr>
          <w:top w:val="single" w:color="auto" w:sz="12" w:space="6"/>
          <w:left w:val="none" w:color="auto" w:sz="0" w:space="4"/>
          <w:bottom w:val="none" w:color="auto" w:sz="0" w:space="1"/>
          <w:right w:val="none" w:color="auto" w:sz="0" w:space="4"/>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3"/>
        </w:numPr>
        <w:adjustRightInd w:val="0"/>
        <w:snapToGrid w:val="0"/>
        <w:spacing w:beforeLines="0" w:afterLines="0"/>
        <w:ind w:firstLineChars="0"/>
        <w:rPr>
          <w:rFonts w:cs="Times New Roman"/>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Pr>
          <w:rFonts w:cs="Times New Roman"/>
          <w:sz w:val="20"/>
          <w:szCs w:val="20"/>
        </w:rPr>
        <w:t>R2-2304273, LS on unchanged PCI, 3GPP RAN2 #112bis-e.</w:t>
      </w:r>
    </w:p>
    <w:p>
      <w:pPr>
        <w:pStyle w:val="112"/>
        <w:numPr>
          <w:ilvl w:val="0"/>
          <w:numId w:val="13"/>
        </w:numPr>
        <w:adjustRightInd w:val="0"/>
        <w:snapToGrid w:val="0"/>
        <w:spacing w:beforeLines="0" w:afterLines="0"/>
        <w:ind w:firstLineChars="0"/>
        <w:rPr>
          <w:rFonts w:cs="Times New Roman"/>
          <w:sz w:val="20"/>
          <w:szCs w:val="20"/>
        </w:rPr>
      </w:pPr>
      <w:r>
        <w:rPr>
          <w:rFonts w:cs="Times New Roman"/>
          <w:sz w:val="20"/>
          <w:szCs w:val="20"/>
        </w:rPr>
        <w:t>Report of 3GPP TSG RAN WG2 meeting #121bis-e, Online, 3GPP RAN2 #112bis-e.</w:t>
      </w:r>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112"/>
        <w:spacing w:before="120" w:after="120"/>
        <w:ind w:firstLine="0" w:firstLineChars="0"/>
        <w:rPr>
          <w:rFonts w:cs="Times New Roman"/>
          <w:sz w:val="20"/>
          <w:szCs w:val="20"/>
          <w:highlight w:val="yellow"/>
        </w:rPr>
      </w:pPr>
    </w:p>
    <w:sectPr>
      <w:footerReference r:id="rId3" w:type="default"/>
      <w:pgSz w:w="12240" w:h="15840"/>
      <w:pgMar w:top="1417"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DBE47"/>
    <w:multiLevelType w:val="singleLevel"/>
    <w:tmpl w:val="8DDDBE47"/>
    <w:lvl w:ilvl="0" w:tentative="0">
      <w:start w:val="1"/>
      <w:numFmt w:val="decimal"/>
      <w:suff w:val="space"/>
      <w:lvlText w:val="%1."/>
      <w:lvlJc w:val="left"/>
    </w:lvl>
  </w:abstractNum>
  <w:abstractNum w:abstractNumId="1">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2">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6">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4E5D1BA0"/>
    <w:multiLevelType w:val="multilevel"/>
    <w:tmpl w:val="4E5D1BA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0"/>
  </w:num>
  <w:num w:numId="3">
    <w:abstractNumId w:val="2"/>
  </w:num>
  <w:num w:numId="4">
    <w:abstractNumId w:val="5"/>
  </w:num>
  <w:num w:numId="5">
    <w:abstractNumId w:val="11"/>
  </w:num>
  <w:num w:numId="6">
    <w:abstractNumId w:val="12"/>
  </w:num>
  <w:num w:numId="7">
    <w:abstractNumId w:val="6"/>
    <w:lvlOverride w:ilvl="0">
      <w:startOverride w:val="1"/>
    </w:lvlOverride>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8"/>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4EF"/>
    <w:rsid w:val="005A3414"/>
    <w:rsid w:val="005A3D4D"/>
    <w:rsid w:val="005A5332"/>
    <w:rsid w:val="005A58F3"/>
    <w:rsid w:val="005A6023"/>
    <w:rsid w:val="005A6628"/>
    <w:rsid w:val="005A6D8A"/>
    <w:rsid w:val="005A70CA"/>
    <w:rsid w:val="005A752F"/>
    <w:rsid w:val="005B0460"/>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BF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51E"/>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pPr>
      <w:spacing w:before="100" w:beforeAutospacing="1" w:after="100" w:afterAutospacing="1"/>
    </w:pPr>
    <w:rPr>
      <w:rFonts w:ascii="宋体" w:hAnsi="宋体" w:eastAsia="宋体" w:cs="宋体"/>
    </w:rPr>
  </w:style>
  <w:style w:type="paragraph" w:customStyle="1" w:styleId="215">
    <w:name w:val="x_msolistparagraph"/>
    <w:basedOn w:val="1"/>
    <w:qFormat/>
    <w:uiPriority w:val="0"/>
    <w:pPr>
      <w:ind w:left="800"/>
    </w:pPr>
    <w:rPr>
      <w:rFonts w:eastAsia="宋体"/>
    </w:rPr>
  </w:style>
  <w:style w:type="paragraph" w:customStyle="1" w:styleId="216">
    <w:name w:val="Draft Proposal"/>
    <w:basedOn w:val="23"/>
    <w:next w:val="1"/>
    <w:qFormat/>
    <w:uiPriority w:val="99"/>
    <w:pPr>
      <w:tabs>
        <w:tab w:val="left" w:pos="1304"/>
        <w:tab w:val="left" w:pos="1701"/>
      </w:tabs>
      <w:spacing w:after="160" w:line="259" w:lineRule="auto"/>
      <w:ind w:left="1304" w:hanging="1304"/>
    </w:pPr>
    <w:rPr>
      <w:rFonts w:ascii="Arial" w:hAnsi="Arial" w:eastAsiaTheme="minorHAnsi" w:cstheme="minorBidi"/>
      <w:b/>
      <w:bCs/>
      <w:sz w:val="22"/>
      <w:szCs w:val="22"/>
      <w:lang w:eastAsia="en-US"/>
    </w:rPr>
  </w:style>
  <w:style w:type="paragraph" w:customStyle="1" w:styleId="217">
    <w:name w:val="修订2"/>
    <w:hidden/>
    <w:semiHidden/>
    <w:qFormat/>
    <w:uiPriority w:val="99"/>
    <w:rPr>
      <w:rFonts w:asciiTheme="minorHAnsi" w:hAnsiTheme="minorHAnsi" w:eastAsiaTheme="minorEastAsia" w:cstheme="minorBidi"/>
      <w:kern w:val="2"/>
      <w:sz w:val="24"/>
      <w:szCs w:val="24"/>
      <w:lang w:val="en-US" w:eastAsia="zh-CN" w:bidi="ar-SA"/>
    </w:rPr>
  </w:style>
  <w:style w:type="character" w:customStyle="1" w:styleId="218">
    <w:name w:val="未处理的提及1"/>
    <w:basedOn w:val="46"/>
    <w:semiHidden/>
    <w:unhideWhenUsed/>
    <w:qFormat/>
    <w:uiPriority w:val="99"/>
    <w:rPr>
      <w:color w:val="605E5C"/>
      <w:shd w:val="clear" w:color="auto" w:fill="E1DFDD"/>
    </w:rPr>
  </w:style>
  <w:style w:type="paragraph" w:customStyle="1" w:styleId="219">
    <w:name w:val="Revision"/>
    <w:hidden/>
    <w:semiHidden/>
    <w:qFormat/>
    <w:uiPriority w:val="99"/>
    <w:rPr>
      <w:rFonts w:asciiTheme="minorHAnsi" w:hAnsiTheme="minorHAnsi" w:eastAsiaTheme="minorEastAsia" w:cstheme="minorBidi"/>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1953</Words>
  <Characters>11138</Characters>
  <Lines>92</Lines>
  <Paragraphs>26</Paragraphs>
  <TotalTime>31</TotalTime>
  <ScaleCrop>false</ScaleCrop>
  <LinksUpToDate>false</LinksUpToDate>
  <CharactersWithSpaces>13065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2023-05-12T11:43:00Z</dcterms:created>
  <dc:creator>cmcc</dc:creator>
  <cp:lastModifiedBy>QW</cp:lastModifiedBy>
  <dcterms:modified xsi:type="dcterms:W3CDTF">2023-05-15T02:36:47Z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